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Гериатрия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02:55 МСК · База обновлена: 22.07.2026, 04:08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Гериатрия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72 лет вызвал участкового врача-терапевта на дом.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- на эпизодическую боль в загрудинной области давящего характера, возникающую при небольшой физической нагрузке (ходьбе в среднем темпе до 500 м, при подъеме по лестнице на 1—2 пролета), эмоциональной нагрузке, купирующуюся приемом нитратов в течение 3-4 минут, эпизодически в покое;</w:t>
      </w:r>
    </w:p>
    <w:p>
      <w:pPr>
        <w:spacing w:after="58"/>
      </w:pPr>
      <w:r>
        <w:rPr>
          <w:b w:val="0"/>
          <w:i w:val="0"/>
        </w:rPr>
        <w:t>- на одышку при незначительной физической нагрузке;</w:t>
      </w:r>
    </w:p>
    <w:p>
      <w:pPr>
        <w:spacing w:after="58"/>
      </w:pPr>
      <w:r>
        <w:rPr>
          <w:b w:val="0"/>
          <w:i w:val="0"/>
        </w:rPr>
        <w:t>- на шаткость и неустойчивость при ходьбе;</w:t>
      </w:r>
    </w:p>
    <w:p>
      <w:pPr>
        <w:spacing w:after="58"/>
      </w:pPr>
      <w:r>
        <w:rPr>
          <w:b w:val="0"/>
          <w:i w:val="0"/>
        </w:rPr>
        <w:t>- на снижение зрения;</w:t>
      </w:r>
    </w:p>
    <w:p>
      <w:pPr>
        <w:spacing w:after="58"/>
      </w:pPr>
      <w:r>
        <w:rPr>
          <w:b w:val="0"/>
          <w:i w:val="0"/>
        </w:rPr>
        <w:t>- на страх падений.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с 55 лет, когда впервые стал отмечать загрудинные давящие боли при физической нагрузке, проходящие в покое и после нитратов короткого действия. Получает постоянную терапию нитратами, периндоприлом, индапамидом, аспирином. Несмотря на антигипертензивную терапию последние 6 мес., артериальное давление плохо контролируется. В течение 5 лет страдает сахарным диабетом 2 типа, получает постоянную сахароснижающую терапию (метформин 1000 мг). Назначенную гиполипидемическую терапию самостоятельно отменил. Отмечает ухудшение состояния в течение последнего месяца, когда ангинозные боли стали возникать чаще, усилилась одышка, появились отеки ног.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нормально. Образование среднее. На пенсии с 60 лет, работал электриком. Наследственность: отягощена по линии отца по сердечно-сосудистым заболеваниям. Аллергологический анамнез не отягощен. Вредные привычки: не курит, злоупотребление алкоголем отрицает. Отмечает неустойчивость, шаткость при ходьбе последние 6 месяцев, за это время – 2 эпизода падения (в ванной и 1 раз в комнате), переломов не было. Отмечает снижение зрения в течение 3 лет. По данным медицинской документации уровень витамина D 26 нг/мл (норма витамина Д 30–100 нг/мл).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относительно удовлетворительное. Распределение подкожной жировой клетчатки по абдоминальному типу, повышенного питания. Индекс массы тела − 38,2 кг/м2. Окружность талии − 112 см. Кожные покровы нормальной окраски, чистые, умеренной влажности. Пастозность голеней, стоп. Язык влажный, не обложен. Периферические лимфатические узлы, доступные пальпации, не увеличены. Частота дыхательных движений − 18 в минуту. В легких дыхание везикулярное, проводится во все отделы, хрипов нет. Тоны сердца приглушены, ритмичные, шумов нет. Артериальное давление − 180/100 мм рт. ст., Частота сердечных сокращений − 79 удара в минуту. Живот при пальпации мягкий, безболезненный. Печень у края реберной дуги, при пальпации безболезненна. Селезенка не увеличена. Симптом поколачивания отрицательный с обеих сторон. Щитовидная железа не увеличена. Ходит медленно, короткими шагами. Шкала «Возраст не помеха» 3 балла.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для постановки диагноза лабораторным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высокочувствительный СРБ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мочи по Нечипоренко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гликозилированного гемоглобина крови и уровня глюкозы крови натощак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уровня антистрептолизина О, ревматоидного фактора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уровня международного нормализованного отношения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общий анализ крови; 4 — определение уровня гликозилированного гемоглобина крови и уровня глюкозы крови натощак</w:t>
      </w:r>
    </w:p>
    <w:p>
      <w:pPr>
        <w:ind w:left="504"/>
      </w:pPr>
      <w:r>
        <w:rPr>
          <w:b w:val="0"/>
          <w:i/>
        </w:rPr>
        <w:t>Всем пациентам рекомендуется проводить общий анализ крови с измерением уровней гемоглобина, эритроцитов и лейкоцитов.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Рекомендована оценка факторов риска, влияющих на развитие ишемической болезни сердца при сахарном диабете – возраст пациента на момент дебюта гипергликемии, наследственность по сахарному диабету, сосудистые осложнения, уровень глюкозы плазмы натощак, уровень HbA1c.</w:t>
        <w:br/>
        <w:br/>
      </w:r>
      <w:hyperlink r:id="rId23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для постановки диагноза инструментальным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магнитно-резонансную томографию грудного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спирометрию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ультразвуковую допплерографию вен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трансторакальную эхокардиографию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электрокардиографию; 6 — трансторакальную эхокардиографию</w:t>
      </w:r>
    </w:p>
    <w:p>
      <w:pPr>
        <w:ind w:left="504"/>
      </w:pPr>
      <w:r>
        <w:rPr>
          <w:b w:val="0"/>
          <w:i/>
        </w:rPr>
        <w:t>Всем пациентам с подозрением на ишемическую болезнь сердца при обращении к врачу рекомендуется выполнить электрокардиографию в покое и расшифровать электрокардиограмму.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Трансторакальная эхокардиограмма в покое рекомендуется всем пациентам с подозрением на стабильную ишемической болезни сердца и при ранее доказанной стабильной ишемической болезни сердца.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жалобы, анамнез, данные лабораторных и физикальных методов обследования,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коронарный синдром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Ишемическая болезнь сердца. Стенокардия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Ишемическая болезнь сердца. Стенокардия Принцметала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Ишемическая болезнь сердца. Впервые возникшая стенокардия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Ишемическая болезнь сердца. Стенокардия напряжения</w:t>
      </w:r>
    </w:p>
    <w:p>
      <w:pPr>
        <w:ind w:left="504"/>
      </w:pPr>
      <w:r>
        <w:rPr>
          <w:b w:val="0"/>
          <w:i/>
        </w:rPr>
        <w:t>Признаки типичной (несомненной) стенокардии напряжения:</w:t>
        <w:br/>
        <w:br/>
        <w:t>* Боль в области грудины, возможно с иррадиацией в левую руку, спину или нижнюю челюсть, реже в эпигастральную область, длительностью 2—5 мин. Эквивалентами боли бывают одышка, ощущение «тяжести», «жжения».</w:t>
        <w:br/>
        <w:br/>
        <w:t>* Вышеописанная боль возникает во время физической нагрузки, либо сильного эмоционального стресса.</w:t>
        <w:br/>
        <w:br/>
        <w:t>* Вышеописанная боль быстро исчезает после прекращения физической нагрузки либо после приема нитроглицерина.</w:t>
        <w:br/>
        <w:br/>
        <w:t>Для подтверждения диагноза типичной (несомненной) стенокардии необходимо наличие у пациента всех трех вышеперечисленных признаков одновременно.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 данного пациента клинические проявления свидетельствуют о наличии +_____+ функционального класса стенокардии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III</w:t>
      </w:r>
    </w:p>
    <w:p>
      <w:pPr>
        <w:ind w:left="504"/>
      </w:pPr>
      <w:r>
        <w:rPr>
          <w:b w:val="0"/>
          <w:i/>
        </w:rPr>
        <w:t>Приступы стенокардии резко ограничивают физическую активность: возникают при незначительной нагрузке – при ходьбе в среднем темпе &lt;500 м, при подъеме по лестнице на 1-2 пролета. Изредка приступы возникают в покое.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Фоновым заболеванием, которое усугубляет течение основного заболевания и является фактором риска сердечно-сосудистых осложнений, является Гипертоническая болезнь +_____+ стадии. Риск +_________+. Целевой уровень АД не достигнут.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3; 3 (низкий)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2; 4 (очень высокий)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3; 4 (очень высокий)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2; 3 (высокий)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3; 4 (очень высокий)</w:t>
      </w:r>
    </w:p>
    <w:p>
      <w:pPr>
        <w:ind w:left="504"/>
      </w:pPr>
      <w:r>
        <w:rPr>
          <w:b w:val="0"/>
          <w:i/>
        </w:rPr>
        <w:t>У пациента имеется коморбидность в виде наличия ишемической болезни сердца и сахарного диабета, что свидетельствует о 3 стадии гипертонической болезни и очень высоком риске развития сердечно-сосудистых осложнений. Максимальные цифры повышения артериального давления (180/100 мм рт. ст.) соответствуют 3 степени артериальной гипертензии.</w:t>
        <w:br/>
        <w:br/>
      </w:r>
      <w:hyperlink r:id="rId33">
        <w:r>
          <w:rPr>
            <w:color w:val="173C49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Уровни глюкозы плазмы крови натощак и гликозилированного гемоглобина обусловливают необходимость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добавления второго сахароснижающего препарата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продолжения приема назначенного препарата в полном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отмены метформина и перевода пациента на препараты инсулина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дополнительного введения инсулина короткого действия на фоне продолжения приема метформина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продолжения приема назначенного препарата в полном объеме</w:t>
      </w:r>
    </w:p>
    <w:p>
      <w:pPr>
        <w:ind w:left="504"/>
      </w:pPr>
      <w:r>
        <w:rPr>
          <w:b w:val="0"/>
          <w:i/>
        </w:rPr>
        <w:t>На фоне регулярного приема метформина отмечается достижение целевого уровня глюкоза плазмы натощак и гликозилированного гемоглобина.</w:t>
        <w:br/>
        <w:br/>
      </w:r>
      <w:hyperlink r:id="rId23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антиангинальной терапии пациенту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комплексную метаболическую терапию, включающая триметазидин, мексидол и препараты калия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комплексную терапию, включающая триметазидин и ранолазин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монотерапию бета-адреноблокаторами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комбинацию бета-адреноблокатора с дигидропиридиновым антагонистом кальция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комбинацию бета-адреноблокатора с дигидропиридиновым антагонистом кальция</w:t>
      </w:r>
    </w:p>
    <w:p>
      <w:pPr>
        <w:ind w:left="504"/>
      </w:pPr>
      <w:r>
        <w:rPr>
          <w:b w:val="0"/>
          <w:i/>
        </w:rPr>
        <w:t>При стабильной стенокардии 3-4 функционального класса рекомендуется сразу назначить комбинацию бета-адреноблокатора с дигидропиридиновым антагонистом кальция.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Целевое значение частоты сердечных сокращений у пациента на фоне принимаемой терапии должно составлять _____ ударов в минуту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45-50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55-60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65-70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75-80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55-60</w:t>
      </w:r>
    </w:p>
    <w:p>
      <w:pPr>
        <w:ind w:left="504"/>
      </w:pPr>
      <w:r>
        <w:rPr>
          <w:b w:val="0"/>
          <w:i/>
        </w:rPr>
        <w:t>При применении БАБ наибольшее снижение потребности миокарда в кислороде и прирост коронарного кровотока достигается при ЧСС 55—60 уд/мин.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Целевые значения уровня липопротеидов низкой плотности при терапии статинами у данного пациента должны составлять +___+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≤2,5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≤4,0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&lt;1,4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≤3,0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&lt;1,4</w:t>
      </w:r>
    </w:p>
    <w:p>
      <w:pPr>
        <w:ind w:left="504"/>
      </w:pPr>
      <w:r>
        <w:rPr>
          <w:b w:val="0"/>
          <w:i/>
        </w:rPr>
        <w:t>Для профилактики сердечно-сосудистых осложнений всем пациентам с стабильной ишемической болезнью сердца рекомендуется назначать статины для достижения целевого уровня липопротеидов низкой плотности (&lt;1,4 ммоль/л), т.к. риск очень высокий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Оценить походку и риск падений у пожилых пациентов позволяет тест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вставания со стула 5 раз без помощи рук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скорости ходьбы на расстоянии 6 метров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«Встань и иди»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тандемный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«Встань и иди»</w:t>
      </w:r>
    </w:p>
    <w:p>
      <w:pPr>
        <w:ind w:left="504"/>
      </w:pPr>
      <w:r>
        <w:rPr>
          <w:b w:val="0"/>
          <w:i/>
        </w:rPr>
        <w:t>Рекомендовано выполнять тест «Встань и иди» у пациентов, направленных на КГО, для оценки риска падений и выявления нарушений походки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Старческая астения,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Учитывая риск падений, пациенту необходимо назначить консультацию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пульмонолога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офтальмолога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ревматолога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гастроэнтеролога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офтальмолога</w:t>
      </w:r>
    </w:p>
    <w:p>
      <w:pPr>
        <w:ind w:left="504"/>
      </w:pPr>
      <w:r>
        <w:rPr>
          <w:b w:val="0"/>
          <w:i/>
        </w:rPr>
        <w:t>Сенсорные нарушения (снижение зрения и слуха) затрудняют выполнение повседневных задач, повышают риск когнитивных нарушений, депрессии, падений, социальной изоляции, ухудшают прогноз для жизни пожилых людей. При выявлении сенсорных дефицитов целесообразно направление пациента на консультацию к соответствующим врачам- специалистам - врачу-офтальмологу, врачу-сурдологу-оториноларингологу.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Старческая астения,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составе комплекса мер для снижения риска падений пациенту с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колекальциферол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ретинол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витамины группы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колекальциферол</w:t>
      </w:r>
    </w:p>
    <w:p>
      <w:pPr>
        <w:ind w:left="504"/>
      </w:pPr>
      <w:r>
        <w:rPr>
          <w:b w:val="0"/>
          <w:i/>
        </w:rPr>
        <w:t>Рекомендуется назначение колекальциферола c/или без препаратов кальция пациентам с недостатком/дефицитом витамина D в составе комплекса мер для снижения риска падений.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Старческая астения,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Гериатрия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Р. 76 лет поступил в ревматологическое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припухлость и резкую боль в первом пальце правой стопы, припухлость левого локтевого сустава.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Заболел остро 2 дня назад после эмоционального стресса.</w:t>
      </w:r>
    </w:p>
    <w:p>
      <w:pPr>
        <w:spacing w:after="58"/>
      </w:pPr>
      <w:r>
        <w:rPr>
          <w:b w:val="0"/>
          <w:i w:val="0"/>
        </w:rPr>
        <w:t>* Отмечалось повышение температуры тела до 37,8°С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течение последних 3 лет эпизодически наблюдаются подъёмы артериального давления до 160/100 мм рт. ст., постоянной гипотензивной терапии не получал. Острые сердечно-сосудистые состояния, сахарный диабет в анамнезе отрицает. При УЗИ почек несколько лет назад были выявлены конкременты, однако в связи с отсутствием жалоб значения этому не придал, к урологу не обращался, лечения не получал</w:t>
      </w:r>
    </w:p>
    <w:p>
      <w:pPr>
        <w:spacing w:after="58"/>
      </w:pPr>
      <w:r>
        <w:rPr>
          <w:b w:val="0"/>
          <w:i w:val="0"/>
        </w:rPr>
        <w:t>* Вредные привычки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</w:t>
      </w:r>
    </w:p>
    <w:p>
      <w:pPr>
        <w:spacing w:after="58"/>
      </w:pPr>
      <w:r>
        <w:rPr>
          <w:b w:val="0"/>
          <w:i w:val="0"/>
        </w:rPr>
        <w:t>* Конституция гиперстеническая, повышенного питания. Рост 171 см. Вес 96 кг. ИМТ 33,6 кг/м2. Окружность талии 104 см.</w:t>
      </w:r>
    </w:p>
    <w:p>
      <w:pPr>
        <w:spacing w:after="58"/>
      </w:pPr>
      <w:r>
        <w:rPr>
          <w:b w:val="0"/>
          <w:i w:val="0"/>
        </w:rPr>
        <w:t>* В лёгких дыхание везикулярное, хрипов нет. ЧД 18 в минуту.</w:t>
      </w:r>
    </w:p>
    <w:p>
      <w:pPr>
        <w:spacing w:after="58"/>
      </w:pPr>
      <w:r>
        <w:rPr>
          <w:b w:val="0"/>
          <w:i w:val="0"/>
        </w:rPr>
        <w:t>* Тоны сердца приглушены, ритм правильный. ЧСС 84 в минуту. АД 150/105 мм рт. ст.</w:t>
      </w:r>
    </w:p>
    <w:p>
      <w:pPr>
        <w:spacing w:after="58"/>
      </w:pPr>
      <w:r>
        <w:rPr>
          <w:b w:val="0"/>
          <w:i w:val="0"/>
        </w:rPr>
        <w:t>* Живот увеличен в объёме за счёт избыточного развития подкожной жировой клетчатки, мягкий, безболезненный. Правая доля печени на 1,5 см выступает из-под реберной дуги; край печени мягкий, безболезненный.</w:t>
      </w:r>
    </w:p>
    <w:p>
      <w:pPr>
        <w:spacing w:after="58"/>
      </w:pPr>
      <w:r>
        <w:rPr>
          <w:b w:val="0"/>
          <w:i w:val="0"/>
        </w:rPr>
        <w:t>* Область почек визуально не изменена. Симптом поколачивания отрицательный с обеих сторон.</w:t>
      </w:r>
    </w:p>
    <w:p>
      <w:pPr>
        <w:spacing w:after="58"/>
      </w:pPr>
      <w:r>
        <w:rPr>
          <w:b w:val="0"/>
          <w:i w:val="0"/>
        </w:rPr>
        <w:t>* Физиологические отправления в норме.</w:t>
      </w:r>
    </w:p>
    <w:p>
      <w:pPr>
        <w:spacing w:after="58"/>
      </w:pPr>
      <w:r>
        <w:rPr>
          <w:b w:val="0"/>
          <w:i w:val="0"/>
        </w:rPr>
        <w:t>* Периферических отеков нет.</w:t>
      </w:r>
    </w:p>
    <w:p>
      <w:pPr>
        <w:spacing w:after="58"/>
      </w:pPr>
      <w:r>
        <w:rPr>
          <w:b w:val="0"/>
          <w:i w:val="0"/>
        </w:rPr>
        <w:t>Осмотр костно-суставного аппарата: выраженная деформация первого плюснефалангового сустава правой стопы за счёт экссудативных явлений, резкая болезненность при пальпации данного сустава, гиперемия кожи над ним и повышение местной температуры, объём движений в первом плюснефаланговом суставе справа резко ограничен. Дефигурация и ограничение подвижности левого локтевого сустава за счёт экссудативных явлений, умеренная гиперемия, пальпаторная болезненность.  Другие суставы при осмотре не изменены, пальпация их безболезненна, движения в других суставах сохранены, в полном объёме. Подкожные и внутрикожные узелки не выявляются.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лабораторным исследованием, необходимым для установления основного диагноза,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уровня ревматоидного фактора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 с определением уровня мочевой кислоты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биохимический анализ крови с определением уровня мочевой кислоты</w:t>
      </w:r>
    </w:p>
    <w:p>
      <w:pPr>
        <w:ind w:left="504"/>
      </w:pPr>
      <w:r>
        <w:rPr>
          <w:b w:val="0"/>
          <w:i/>
        </w:rPr>
        <w:t>Рекомендуется у всех пациентов с подозрением на подагру определять сывороточный уровень мочевой кислоты</w:t>
        <w:br/>
        <w:br/>
      </w:r>
      <w:hyperlink r:id="rId43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Дополнительным методом обследования, необходимым для установления диагноза основного заболевания,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ангиосканирование вен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пункция сустава и поляризационная микроскопия синовиальной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рентгенологическое исследование пораженных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органов брюшной полости и почек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пункция сустава и поляризационная микроскопия синовиальной жидкости</w:t>
      </w:r>
    </w:p>
    <w:p>
      <w:pPr>
        <w:ind w:left="504"/>
      </w:pPr>
      <w:r>
        <w:rPr>
          <w:b w:val="0"/>
          <w:i/>
        </w:rPr>
        <w:t>Рекомендуется всем пациентам для постановки определенного диагноза подагры выявление кристаллов моноурата натрия в синовиальной жидкости или в содержимом тофуса</w:t>
        <w:br/>
        <w:br/>
      </w:r>
      <w:hyperlink r:id="rId43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Выявленное основное заболевание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Септическим полиартритом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Подагрой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Ревматоидным артритом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Острой ревматической лихорадкой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Подагрой</w:t>
      </w:r>
    </w:p>
    <w:p>
      <w:pPr>
        <w:ind w:left="504"/>
      </w:pPr>
      <w:r>
        <w:rPr>
          <w:b w:val="0"/>
          <w:i/>
        </w:rPr>
        <w:t>Для определённого диагноза подагры достаточно выявление кристаллов моноурата натрия в синовиальной жидкости или тофусах; при невозможности указанных исследований диагноз должен быть обоснован наличием совокупности клинических, лабораторных и инструментальных признаков.</w:t>
        <w:br/>
        <w:br/>
        <w:t>Критерии ACR/EULAR, 2015</w:t>
        <w:br/>
        <w:br/>
      </w:r>
      <w:hyperlink r:id="rId43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Форму подагры в данном случае рассматривают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бессимптомную гиперурикемию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подагрический артрит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хроническую тофусную подагру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хронический подагрический артрит в фазе обострения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острый подагрический артрит</w:t>
      </w:r>
    </w:p>
    <w:p>
      <w:pPr>
        <w:ind w:left="504"/>
      </w:pPr>
      <w:r>
        <w:rPr>
          <w:b w:val="0"/>
          <w:i/>
        </w:rPr>
        <w:t>Основные клинические проявления подагры: рецидивирующие атаки острого артрита, очаговое накопление кристаллов уратов с образованием тофусов в тканях (в области суставов, мягких тканей, различных органах), нефролитиаз, подагрическая нефропатия.</w:t>
        <w:br/>
        <w:br/>
      </w:r>
      <w:hyperlink r:id="rId43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Подагру в данном случае можно считать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лекарственной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неуточненной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идиопатической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обусловленной нарушением почечной функции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идиопатической</w:t>
      </w:r>
    </w:p>
    <w:p>
      <w:pPr>
        <w:ind w:left="504"/>
      </w:pPr>
      <w:r>
        <w:rPr>
          <w:b w:val="0"/>
          <w:i/>
        </w:rPr>
        <w:t>Заболеваемость подагрой составляет в различных популяциях от 5 до 70 на 1 000 среди мужчин и 1-10 среди женщин. Распространённость подагры среди взрослого населения колеблется в европейских странах от 0,9% до 2,5%, в США достигает 3,9%. Пик заболеваемости у мужчин в возрасте 40-50 лет, женщин – после 60 лет (в постменопаузальном периоде). Подагра среди мужчин встречается в 6-7 раз чаще, в старческом возрасте – в 3 раза чаще.</w:t>
        <w:br/>
        <w:br/>
      </w:r>
      <w:hyperlink r:id="rId43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Предполагаемым триггерным фактором развития острого артрита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эмоциональный стресс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прием алкоголя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прием диуретиков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физическая нагрузка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эмоциональный стресс</w:t>
      </w:r>
    </w:p>
    <w:p>
      <w:pPr>
        <w:ind w:left="504"/>
      </w:pPr>
      <w:r>
        <w:rPr>
          <w:b w:val="0"/>
          <w:i/>
        </w:rPr>
        <w:t>Основными причинами гиперурикемии являются генетические факторы, приводящие к повышению реабсорбции и снижению экскреции мочевой кислоты с мочой либо к её гиперпродукции; избыточная масса тела и ожирение, повышение артериального давления, приём алкоголя, потребление большого количества животного белка, приём мочегонных препаратов, заболевания и состояния, характеризующиеся гиперурикемией.</w:t>
        <w:br/>
        <w:br/>
      </w:r>
      <w:hyperlink r:id="rId43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Коморбидными состояниями, увеличивающими риск развития подагры,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h.pylori-ассоциированные заболевания желудка и 12-перстной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приобретенные пороки сердца ревматической этиологии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хроническая обструктивная болезнь легких и хронический обструктивный бронхит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артериальная гипертензия и ожирение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артериальная гипертензия и ожирение</w:t>
      </w:r>
    </w:p>
    <w:p>
      <w:pPr>
        <w:ind w:left="504"/>
      </w:pPr>
      <w:r>
        <w:rPr>
          <w:b w:val="0"/>
          <w:i/>
        </w:rPr>
        <w:t>Пациенты с подагрой часто имеют связанные с ожирением сопутствующие заболевания, например АГ, гипертриглицеридемия, нарушения углеводного обмена.</w:t>
        <w:br/>
        <w:br/>
      </w:r>
      <w:hyperlink r:id="rId50">
        <w:r>
          <w:rPr>
            <w:color w:val="173C49"/>
            <w:u w:val="single"/>
          </w:rPr>
          <w:t>Диагностика, лечение, профилактика ожирения и ассоциированных с ним заболеваний (национальные клинические рекомендации), 2017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Осложнением подагры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хроническая почечная недостаточность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стеатоз печени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мочекаменная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ожирение I степени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мочекаменная болезнь</w:t>
      </w:r>
    </w:p>
    <w:p>
      <w:pPr>
        <w:ind w:left="504"/>
      </w:pPr>
      <w:r>
        <w:rPr>
          <w:b w:val="0"/>
          <w:i/>
        </w:rPr>
        <w:t>В основе развития мочекаменной болезни лежат нарушения обменных процессов, связанных как с алиментарными факторами, так и с заболеваниями эндокринной системы, наследственной предрасположенности, а также климато-географических условий.</w:t>
        <w:br/>
        <w:br/>
      </w:r>
      <w:hyperlink r:id="rId52">
        <w:r>
          <w:rPr>
            <w:color w:val="173C49"/>
            <w:u w:val="single"/>
          </w:rPr>
          <w:t>Урология. Российские клинические рекомендации / под ред. Ю.Г. Аляева, П.В. Глыбочко, Д. Ю. Пушкаря. — 2017. — 544 с. ISBN 978-5-9906972-6-3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купирования острой подагрической атаки в качестве первой линии терапии наряду с НПВС рекомендуется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аллопуринола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колхицина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метотрексата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азатиоприна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колхицина</w:t>
      </w:r>
    </w:p>
    <w:p>
      <w:pPr>
        <w:ind w:left="504"/>
      </w:pPr>
      <w:r>
        <w:rPr>
          <w:b w:val="0"/>
          <w:i/>
        </w:rPr>
        <w:t>Рекомендуется всем пациентам в качестве «первой линии» терапии острого артрита назначать нестероидные противовоспалительные препараты или колхицин, или глюкокортикоиды.</w:t>
        <w:br/>
        <w:br/>
      </w:r>
      <w:hyperlink r:id="rId43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Частым побочным эффектом длительного приема НПВС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ульцерогенез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сухой кашель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полицитемия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брадикардия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ульцерогенез</w:t>
      </w:r>
    </w:p>
    <w:p>
      <w:pPr>
        <w:ind w:left="504"/>
      </w:pPr>
      <w:r>
        <w:rPr>
          <w:b w:val="0"/>
          <w:i/>
        </w:rPr>
        <w:t>Применение нестероидных противовоспалительных препаратов должно учитывать индивидуальный риск желудочно-кишечного кровотечения и их кардиотоксичность.</w:t>
        <w:br/>
        <w:br/>
      </w:r>
      <w:hyperlink r:id="rId43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Постоянная медикаментозная терапия гиперурикемии у данного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возможна при неэффективности немедикаментозных методов коррекции гиперурикемии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желательна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обязательна</w:t>
      </w:r>
    </w:p>
    <w:p>
      <w:pPr>
        <w:ind w:left="504"/>
      </w:pPr>
      <w:r>
        <w:rPr>
          <w:b w:val="0"/>
          <w:i/>
        </w:rPr>
        <w:t>Пациентам с дебютом подагры в возрасте менее 40 лет, при наличии почечной патологии, коморбидных заболеваний, уратснижающую терапию следует инициировать сразу после первого приступа артрита.</w:t>
        <w:br/>
        <w:br/>
      </w:r>
      <w:hyperlink r:id="rId43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качестве уратснижающей терапии первой линии пациенту следует рекомендовать прием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фебуксостата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аллопуринола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блемарена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канакинумаба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аллопуринола</w:t>
      </w:r>
    </w:p>
    <w:p>
      <w:pPr>
        <w:ind w:left="504"/>
      </w:pPr>
      <w:r>
        <w:rPr>
          <w:b w:val="0"/>
          <w:i/>
        </w:rPr>
        <w:t>Рекомендуется пациентам с нормальной функцией почек в качестве препарата первой линии терапии назначение аллопуринола</w:t>
        <w:br/>
        <w:br/>
      </w:r>
      <w:hyperlink r:id="rId43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Гериатрия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155_24/" TargetMode="External"/><Relationship Id="rId22" Type="http://schemas.openxmlformats.org/officeDocument/2006/relationships/hyperlink" Target="https://library.mededtech.ru/rest/documents/KP155_24/#list_item_f77pd5" TargetMode="External"/><Relationship Id="rId23" Type="http://schemas.openxmlformats.org/officeDocument/2006/relationships/hyperlink" Target="https://library.mededtech.ru/rest/documents/algosd25/" TargetMode="External"/><Relationship Id="rId24" Type="http://schemas.openxmlformats.org/officeDocument/2006/relationships/hyperlink" Target="https://library.mededtech.ru/rest/documents/algosd25/#paragraph_v7ub4j" TargetMode="External"/><Relationship Id="rId25" Type="http://schemas.openxmlformats.org/officeDocument/2006/relationships/hyperlink" Target="https://library.mededtech.ru/rest/documents/KP155_24/#list_item_5m2rsf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KP155_24/#list_item_udpfta" TargetMode="External"/><Relationship Id="rId28" Type="http://schemas.openxmlformats.org/officeDocument/2006/relationships/hyperlink" Target="https://library.mededtech.ru/rest/documents/KP155_24/#list_item_2p39pm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KP155_24/#paragraph_cndd3q" TargetMode="External"/><Relationship Id="rId31" Type="http://schemas.openxmlformats.org/officeDocument/2006/relationships/hyperlink" Target="https://library.mededtech.ru/rest/documents/KP155_24/#table&#1055;&#1040;3-1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KP62_24/" TargetMode="External"/><Relationship Id="rId34" Type="http://schemas.openxmlformats.org/officeDocument/2006/relationships/hyperlink" Target="https://library.mededtech.ru/rest/documents/KP62_24/#paragraph_02knai" TargetMode="External"/><Relationship Id="rId35" Type="http://schemas.openxmlformats.org/officeDocument/2006/relationships/hyperlink" Target="https://library.mededtech.ru/rest/documents/algosd25/#image_7njfcb" TargetMode="External"/><Relationship Id="rId36" Type="http://schemas.openxmlformats.org/officeDocument/2006/relationships/hyperlink" Target="https://library.mededtech.ru/rest/documents/KP155_24/#list_item_ar5scq" TargetMode="External"/><Relationship Id="rId37" Type="http://schemas.openxmlformats.org/officeDocument/2006/relationships/hyperlink" Target="https://library.mededtech.ru/rest/documents/KP155_24/#paragraph_vmsbtn" TargetMode="External"/><Relationship Id="rId38" Type="http://schemas.openxmlformats.org/officeDocument/2006/relationships/hyperlink" Target="https://library.mededtech.ru/rest/documents/KP155_24/#list_item_mrogbv" TargetMode="External"/><Relationship Id="rId39" Type="http://schemas.openxmlformats.org/officeDocument/2006/relationships/hyperlink" Target="https://library.mededtech.ru/rest/documents/KP613_24/" TargetMode="External"/><Relationship Id="rId40" Type="http://schemas.openxmlformats.org/officeDocument/2006/relationships/hyperlink" Target="https://library.mededtech.ru/rest/documents/KP613_24/#appG5" TargetMode="External"/><Relationship Id="rId41" Type="http://schemas.openxmlformats.org/officeDocument/2006/relationships/hyperlink" Target="https://library.mededtech.ru/rest/documents/KP613_24/#list_item_04tcht" TargetMode="External"/><Relationship Id="rId42" Type="http://schemas.openxmlformats.org/officeDocument/2006/relationships/hyperlink" Target="https://library.mededtech.ru/rest/documents/KP613_24/#list_item_tfqqbb" TargetMode="External"/><Relationship Id="rId43" Type="http://schemas.openxmlformats.org/officeDocument/2006/relationships/hyperlink" Target="https://library.mededtech.ru/rest/documents/cr_174/" TargetMode="External"/><Relationship Id="rId44" Type="http://schemas.openxmlformats.org/officeDocument/2006/relationships/hyperlink" Target="https://library.mededtech.ru/rest/documents/cr_174/#list_item_nannd" TargetMode="External"/><Relationship Id="rId45" Type="http://schemas.openxmlformats.org/officeDocument/2006/relationships/hyperlink" Target="https://library.mededtech.ru/rest/documents/cr_174/#list_item_652hh" TargetMode="External"/><Relationship Id="rId46" Type="http://schemas.openxmlformats.org/officeDocument/2006/relationships/hyperlink" Target="https://library.mededtech.ru/rest/documents/cr_174/#paragraph_1rkit" TargetMode="External"/><Relationship Id="rId47" Type="http://schemas.openxmlformats.org/officeDocument/2006/relationships/hyperlink" Target="https://library.mededtech.ru/rest/documents/cr_174/#paragraph_q8ie2" TargetMode="External"/><Relationship Id="rId48" Type="http://schemas.openxmlformats.org/officeDocument/2006/relationships/hyperlink" Target="https://library.mededtech.ru/rest/documents/cr_174/#1_3_&#1101;&#1087;&#1080;&#1076;&#1077;&#1084;&#1080;&#1086;&#1083;&#1086;&#1075;&#1080;&#1103;" TargetMode="External"/><Relationship Id="rId49" Type="http://schemas.openxmlformats.org/officeDocument/2006/relationships/hyperlink" Target="https://library.mededtech.ru/rest/documents/cr_174/#paragraph_09v6h" TargetMode="External"/><Relationship Id="rId50" Type="http://schemas.openxmlformats.org/officeDocument/2006/relationships/hyperlink" Target="https://library.mededtech.ru/rest/documents/Ozhirenie_klin_rek_proekt/" TargetMode="External"/><Relationship Id="rId51" Type="http://schemas.openxmlformats.org/officeDocument/2006/relationships/hyperlink" Target="https://library.mededtech.ru/rest/documents/Ozhirenie_klin_rek_proekt/#paragraph_9m28t" TargetMode="External"/><Relationship Id="rId52" Type="http://schemas.openxmlformats.org/officeDocument/2006/relationships/hyperlink" Target="https://library.mededtech.ru/rest/documents/urologia_rkr/" TargetMode="External"/><Relationship Id="rId53" Type="http://schemas.openxmlformats.org/officeDocument/2006/relationships/hyperlink" Target="https://library.mededtech.ru/rest/documents/urologia_rkr/#paragraph_44ci5" TargetMode="External"/><Relationship Id="rId54" Type="http://schemas.openxmlformats.org/officeDocument/2006/relationships/hyperlink" Target="https://library.mededtech.ru/rest/documents/cr_174/#list_item_9t074" TargetMode="External"/><Relationship Id="rId55" Type="http://schemas.openxmlformats.org/officeDocument/2006/relationships/hyperlink" Target="https://library.mededtech.ru/rest/documents/cr_174/#paragraph_drpht" TargetMode="External"/><Relationship Id="rId56" Type="http://schemas.openxmlformats.org/officeDocument/2006/relationships/hyperlink" Target="https://library.mededtech.ru/rest/documents/cr_174/#list_item_1i21g" TargetMode="External"/><Relationship Id="rId57" Type="http://schemas.openxmlformats.org/officeDocument/2006/relationships/hyperlink" Target="https://library.mededtech.ru/rest/documents/cr_174/#list_item_ss2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